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r>
        <w:rPr>
          <w:rFonts w:ascii="Times New Roman" w:cs="Times New Roman" w:hAnsi="Times New Roman"/>
          <w:sz w:val="24"/>
        </w:rPr>
        <w:t>Older Population</w:t>
      </w:r>
    </w:p>
    <w:p>
      <w:pPr>
        <w:pStyle w:val="style0"/>
        <w:spacing w:lineRule="auto" w:line="480"/>
        <w:jc w:val="both"/>
        <w:rPr>
          <w:rFonts w:ascii="Times New Roman" w:cs="Times New Roman" w:hAnsi="Times New Roman"/>
          <w:sz w:val="24"/>
        </w:rPr>
      </w:pPr>
      <w:r>
        <w:rPr>
          <w:rFonts w:ascii="Times New Roman" w:cs="Times New Roman" w:hAnsi="Times New Roman"/>
          <w:sz w:val="24"/>
        </w:rPr>
        <w:t>Institution</w:t>
      </w:r>
    </w:p>
    <w:p>
      <w:pPr>
        <w:pStyle w:val="style0"/>
        <w:spacing w:lineRule="auto" w:line="480"/>
        <w:jc w:val="both"/>
        <w:rPr>
          <w:rFonts w:ascii="Times New Roman" w:cs="Times New Roman" w:hAnsi="Times New Roman"/>
          <w:sz w:val="24"/>
        </w:rPr>
      </w:pPr>
      <w:r>
        <w:rPr>
          <w:rFonts w:ascii="Times New Roman" w:cs="Times New Roman" w:hAnsi="Times New Roman"/>
          <w:sz w:val="24"/>
        </w:rPr>
        <w:t>Course</w:t>
      </w:r>
    </w:p>
    <w:p>
      <w:pPr>
        <w:pStyle w:val="style0"/>
        <w:spacing w:lineRule="auto" w:line="480"/>
        <w:jc w:val="both"/>
        <w:rPr>
          <w:rFonts w:ascii="Times New Roman" w:cs="Times New Roman" w:hAnsi="Times New Roman"/>
          <w:sz w:val="24"/>
        </w:rPr>
      </w:pPr>
      <w:r>
        <w:rPr>
          <w:rFonts w:ascii="Times New Roman" w:cs="Times New Roman" w:hAnsi="Times New Roman"/>
          <w:sz w:val="24"/>
        </w:rPr>
        <w:t>Name</w:t>
      </w: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b/>
          <w:sz w:val="24"/>
        </w:rPr>
      </w:pPr>
      <w:r>
        <w:rPr>
          <w:rFonts w:ascii="Times New Roman" w:cs="Times New Roman" w:hAnsi="Times New Roman"/>
          <w:b/>
          <w:sz w:val="24"/>
        </w:rPr>
        <w:t>Cultural, economic and global influence of Older Population</w:t>
      </w:r>
    </w:p>
    <w:p>
      <w:pPr>
        <w:pStyle w:val="style0"/>
        <w:spacing w:lineRule="auto" w:line="480"/>
        <w:jc w:val="both"/>
        <w:rPr>
          <w:rFonts w:ascii="Times New Roman" w:cs="Times New Roman" w:hAnsi="Times New Roman"/>
          <w:sz w:val="24"/>
        </w:rPr>
      </w:pPr>
      <w:r>
        <w:rPr>
          <w:rFonts w:ascii="Times New Roman" w:cs="Times New Roman" w:hAnsi="Times New Roman"/>
          <w:sz w:val="24"/>
        </w:rPr>
        <w:t>In the US, there have been reports that have not</w:t>
      </w:r>
      <w:r>
        <w:rPr>
          <w:rFonts w:ascii="Times New Roman" w:cs="Times New Roman" w:hAnsi="Times New Roman"/>
          <w:sz w:val="24"/>
        </w:rPr>
        <w:t>ed an increasing number of the old people</w:t>
      </w:r>
      <w:bookmarkStart w:id="0" w:name="_GoBack"/>
      <w:bookmarkEnd w:id="0"/>
      <w:r>
        <w:rPr>
          <w:rFonts w:ascii="Times New Roman" w:cs="Times New Roman" w:hAnsi="Times New Roman"/>
          <w:sz w:val="24"/>
        </w:rPr>
        <w:t>. The growing older population has been noted that it will be accompanied by significant implications for the country's health, social, and economic institutions. It is important that people understand the past demographic patterns and the socioeconomic trends so that they can be in a position of predicting the future size and characteristics of the older population (Hurd, 1997). If the people get to understand the composition and size of the older population they can be able to come up with strategic plans that will help in keeping the older population well.</w:t>
      </w:r>
    </w:p>
    <w:p>
      <w:pPr>
        <w:pStyle w:val="style0"/>
        <w:spacing w:lineRule="auto" w:line="480"/>
        <w:jc w:val="both"/>
        <w:rPr>
          <w:rFonts w:ascii="Times New Roman" w:cs="Times New Roman" w:hAnsi="Times New Roman"/>
          <w:sz w:val="24"/>
        </w:rPr>
      </w:pPr>
      <w:r>
        <w:rPr>
          <w:rFonts w:ascii="Times New Roman" w:cs="Times New Roman" w:hAnsi="Times New Roman"/>
          <w:sz w:val="24"/>
        </w:rPr>
        <w:t>In the United States today ageism is likely the most socially acknowledged form of partiality. Many of the American nationals seem not to be aware of their ageist thinking, and in most cases, they do not intend to show hurtfulness either in their actions or words. In the nation, ageism is embedded and seen as normative within their culture. Thus, in many of the Western nations, including the US, can be said to be youth dominated. The country's most population is made up of the young people who are associated with beauty, longevity and even vitality (Hurd, 1997). On the other hand, the negative characteristics are associated with the older population.</w:t>
      </w:r>
    </w:p>
    <w:p>
      <w:pPr>
        <w:pStyle w:val="style0"/>
        <w:spacing w:lineRule="auto" w:line="480"/>
        <w:jc w:val="both"/>
        <w:rPr>
          <w:rFonts w:ascii="Times New Roman" w:cs="Times New Roman" w:hAnsi="Times New Roman"/>
          <w:sz w:val="24"/>
        </w:rPr>
      </w:pPr>
      <w:r>
        <w:rPr>
          <w:rFonts w:ascii="Times New Roman" w:cs="Times New Roman" w:hAnsi="Times New Roman"/>
          <w:sz w:val="24"/>
        </w:rPr>
        <w:t>On the other hand, an ageing population presents many challenges to government spending, tax, labor markets, and the wider economy. There has been increased life expectancy in the US; life expectancy in the US has increased to 75.7. With the increasing life expectancy and the declining birth rates, there could be a high dependency ratio. This should be consequently seen as a cause for concern since, with the prevailing spending pension commitments, it will act as a burden on the decreasing working population.</w:t>
      </w:r>
    </w:p>
    <w:p>
      <w:pPr>
        <w:pStyle w:val="style0"/>
        <w:spacing w:lineRule="auto" w:line="480"/>
        <w:jc w:val="both"/>
        <w:rPr>
          <w:rFonts w:ascii="Times New Roman" w:cs="Times New Roman" w:hAnsi="Times New Roman"/>
          <w:sz w:val="24"/>
        </w:rPr>
      </w:pPr>
      <w:r>
        <w:rPr>
          <w:rFonts w:ascii="Times New Roman" w:cs="Times New Roman" w:hAnsi="Times New Roman"/>
          <w:sz w:val="24"/>
        </w:rPr>
        <w:t>Globalization has come up with a distinctive stage in the social history of population ageing which has caused tension between state-based solutions and global-based institutions solutions. The growing older population has shifted its influence from state to international arena; the older population has started influencing internationally (Harper, 2014). For instance, there has been a concern by some international organization concerning the wellbeing of the older people (such as the World Bank and IMF) which have resulted creating new conditions and environment for the older people. The issue concerning the ageing population has surpassed the national level to an international level; it can no longer be seen  as a ‘national' issue but the one that affects international communities and agencies.</w:t>
      </w:r>
    </w:p>
    <w:p>
      <w:pPr>
        <w:pStyle w:val="style0"/>
        <w:spacing w:lineRule="auto" w:line="480"/>
        <w:jc w:val="both"/>
        <w:rPr>
          <w:rFonts w:ascii="Times New Roman" w:cs="Times New Roman" w:hAnsi="Times New Roman"/>
          <w:b/>
          <w:sz w:val="24"/>
        </w:rPr>
      </w:pPr>
      <w:r>
        <w:rPr>
          <w:rFonts w:ascii="Times New Roman" w:cs="Times New Roman" w:hAnsi="Times New Roman"/>
          <w:b/>
          <w:sz w:val="24"/>
        </w:rPr>
        <w:t>What strategies could you use or are in place in your community to care for this special population?</w:t>
      </w:r>
    </w:p>
    <w:p>
      <w:pPr>
        <w:pStyle w:val="style0"/>
        <w:spacing w:lineRule="auto" w:line="480"/>
        <w:jc w:val="both"/>
        <w:rPr>
          <w:rFonts w:ascii="Times New Roman" w:cs="Times New Roman" w:hAnsi="Times New Roman"/>
          <w:sz w:val="24"/>
        </w:rPr>
      </w:pPr>
      <w:r>
        <w:rPr>
          <w:rFonts w:ascii="Times New Roman" w:cs="Times New Roman" w:hAnsi="Times New Roman"/>
          <w:sz w:val="24"/>
        </w:rPr>
        <w:t>Retirement Income</w:t>
      </w:r>
    </w:p>
    <w:p>
      <w:pPr>
        <w:pStyle w:val="style0"/>
        <w:spacing w:lineRule="auto" w:line="480"/>
        <w:jc w:val="both"/>
        <w:rPr>
          <w:rFonts w:ascii="Times New Roman" w:cs="Times New Roman" w:hAnsi="Times New Roman"/>
          <w:sz w:val="24"/>
        </w:rPr>
      </w:pPr>
      <w:r>
        <w:rPr>
          <w:rFonts w:ascii="Times New Roman" w:cs="Times New Roman" w:hAnsi="Times New Roman"/>
          <w:sz w:val="24"/>
        </w:rPr>
        <w:t>After an older person retires either from a public or privately owned organization, the company normally pays pensions, or there could be welfare payments to be made. The publicly-financed retirement pensions are mainly funded through the national old-age and any other form of insurance plan that is meant for the older people. This is normally referred to as social security which is a universal income support program (Weisstub, 2001).</w:t>
      </w:r>
    </w:p>
    <w:p>
      <w:pPr>
        <w:pStyle w:val="style0"/>
        <w:spacing w:lineRule="auto" w:line="480"/>
        <w:jc w:val="both"/>
        <w:rPr>
          <w:rFonts w:ascii="Times New Roman" w:cs="Times New Roman" w:hAnsi="Times New Roman"/>
          <w:sz w:val="24"/>
        </w:rPr>
      </w:pPr>
      <w:r>
        <w:rPr>
          <w:rFonts w:ascii="Times New Roman" w:cs="Times New Roman" w:hAnsi="Times New Roman"/>
          <w:sz w:val="24"/>
        </w:rPr>
        <w:t>Long-term care Financing</w:t>
      </w:r>
    </w:p>
    <w:p>
      <w:pPr>
        <w:pStyle w:val="style0"/>
        <w:spacing w:lineRule="auto" w:line="480"/>
        <w:jc w:val="both"/>
        <w:rPr>
          <w:rFonts w:ascii="Times New Roman" w:cs="Times New Roman" w:hAnsi="Times New Roman"/>
          <w:sz w:val="24"/>
        </w:rPr>
      </w:pPr>
      <w:r>
        <w:rPr>
          <w:rFonts w:ascii="Times New Roman" w:cs="Times New Roman" w:hAnsi="Times New Roman"/>
          <w:sz w:val="24"/>
        </w:rPr>
        <w:t xml:space="preserve">In the United States, the government has come up with plans that are meant to finance long-term care services. Some of these long-term care services include; home care and home and community-based services which are financed through a combination of out-of-pocket payments, state-funded programmes, Medicare, Medicaid, and private insurance (Weisstub, 2001). </w:t>
      </w:r>
    </w:p>
    <w:p>
      <w:pPr>
        <w:pStyle w:val="style0"/>
        <w:spacing w:lineRule="auto" w:line="480"/>
        <w:jc w:val="both"/>
        <w:rPr>
          <w:rFonts w:ascii="Times New Roman" w:cs="Times New Roman" w:hAnsi="Times New Roman"/>
          <w:sz w:val="24"/>
        </w:rPr>
      </w:pPr>
      <w:r>
        <w:rPr>
          <w:rFonts w:ascii="Times New Roman" w:cs="Times New Roman" w:hAnsi="Times New Roman"/>
          <w:sz w:val="24"/>
        </w:rPr>
        <w:t>Acute care Financing</w:t>
      </w:r>
    </w:p>
    <w:p>
      <w:pPr>
        <w:pStyle w:val="style0"/>
        <w:spacing w:lineRule="auto" w:line="480"/>
        <w:jc w:val="both"/>
        <w:rPr>
          <w:rFonts w:ascii="Times New Roman" w:cs="Times New Roman" w:hAnsi="Times New Roman"/>
          <w:sz w:val="24"/>
        </w:rPr>
      </w:pPr>
      <w:r>
        <w:rPr>
          <w:rFonts w:ascii="Times New Roman" w:cs="Times New Roman" w:hAnsi="Times New Roman"/>
          <w:sz w:val="24"/>
        </w:rPr>
        <w:t>The acute care services for the older population are funded through a mix of public and private sources. For instance, Medicare is a publicly funded and administered social insurance programme.  Additionally, the programme also covers the youths who have disabilities and have a significant work history.</w:t>
      </w: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center"/>
        <w:rPr>
          <w:rFonts w:ascii="Times New Roman" w:cs="Times New Roman" w:hAnsi="Times New Roman"/>
          <w:sz w:val="24"/>
        </w:rPr>
      </w:pPr>
      <w:r>
        <w:rPr>
          <w:rFonts w:ascii="Times New Roman" w:cs="Times New Roman" w:hAnsi="Times New Roman"/>
          <w:sz w:val="24"/>
        </w:rPr>
        <w:t>References</w:t>
      </w:r>
    </w:p>
    <w:p>
      <w:pPr>
        <w:pStyle w:val="style0"/>
        <w:spacing w:lineRule="auto" w:line="480"/>
        <w:ind w:left="720" w:hanging="720"/>
        <w:jc w:val="both"/>
        <w:rPr>
          <w:rFonts w:ascii="Times New Roman" w:cs="Times New Roman" w:hAnsi="Times New Roman"/>
          <w:sz w:val="24"/>
        </w:rPr>
      </w:pPr>
      <w:r>
        <w:rPr>
          <w:rFonts w:ascii="Times New Roman" w:cs="Times New Roman" w:hAnsi="Times New Roman"/>
          <w:sz w:val="24"/>
        </w:rPr>
        <w:t xml:space="preserve">Harper, S., &amp; Hamblin, K. (2014). </w:t>
      </w:r>
      <w:r>
        <w:rPr>
          <w:rFonts w:ascii="Times New Roman" w:cs="Times New Roman" w:hAnsi="Times New Roman"/>
          <w:i/>
          <w:iCs/>
          <w:sz w:val="24"/>
        </w:rPr>
        <w:t>International handbook on ageing and public policy</w:t>
      </w:r>
      <w:r>
        <w:rPr>
          <w:rFonts w:ascii="Times New Roman" w:cs="Times New Roman" w:hAnsi="Times New Roman"/>
          <w:sz w:val="24"/>
        </w:rPr>
        <w:t>. Cheltenham, UK: Edward Elgar Publishing.</w:t>
      </w:r>
    </w:p>
    <w:p>
      <w:pPr>
        <w:pStyle w:val="style0"/>
        <w:spacing w:lineRule="auto" w:line="480"/>
        <w:ind w:left="720" w:hanging="720"/>
        <w:jc w:val="both"/>
        <w:rPr>
          <w:rFonts w:ascii="Times New Roman" w:cs="Times New Roman" w:hAnsi="Times New Roman"/>
          <w:sz w:val="24"/>
        </w:rPr>
      </w:pPr>
      <w:r>
        <w:rPr>
          <w:rFonts w:ascii="Times New Roman" w:cs="Times New Roman" w:hAnsi="Times New Roman"/>
          <w:sz w:val="24"/>
        </w:rPr>
        <w:t xml:space="preserve">Hurd, M. D., &amp; Yashiro, N. (1997). </w:t>
      </w:r>
      <w:r>
        <w:rPr>
          <w:rFonts w:ascii="Times New Roman" w:cs="Times New Roman" w:hAnsi="Times New Roman"/>
          <w:i/>
          <w:iCs/>
          <w:sz w:val="24"/>
        </w:rPr>
        <w:t>The economic effects of aging in the United States and Japan</w:t>
      </w:r>
      <w:r>
        <w:rPr>
          <w:rFonts w:ascii="Times New Roman" w:cs="Times New Roman" w:hAnsi="Times New Roman"/>
          <w:sz w:val="24"/>
        </w:rPr>
        <w:t>. Chicago: University of Chicago Press.</w:t>
      </w:r>
    </w:p>
    <w:p>
      <w:pPr>
        <w:pStyle w:val="style0"/>
        <w:spacing w:lineRule="auto" w:line="480"/>
        <w:ind w:left="720" w:hanging="720"/>
        <w:jc w:val="both"/>
        <w:rPr>
          <w:rFonts w:ascii="Times New Roman" w:cs="Times New Roman" w:hAnsi="Times New Roman"/>
          <w:sz w:val="24"/>
        </w:rPr>
      </w:pPr>
      <w:r>
        <w:rPr>
          <w:rFonts w:ascii="Times New Roman" w:cs="Times New Roman" w:hAnsi="Times New Roman"/>
          <w:sz w:val="24"/>
        </w:rPr>
        <w:t xml:space="preserve">Weisstub, D. N. (2001). </w:t>
      </w:r>
      <w:r>
        <w:rPr>
          <w:rFonts w:ascii="Times New Roman" w:cs="Times New Roman" w:hAnsi="Times New Roman"/>
          <w:i/>
          <w:iCs/>
          <w:sz w:val="24"/>
        </w:rPr>
        <w:t>Aging: Caring for our elders</w:t>
      </w:r>
      <w:r>
        <w:rPr>
          <w:rFonts w:ascii="Times New Roman" w:cs="Times New Roman" w:hAnsi="Times New Roman"/>
          <w:sz w:val="24"/>
        </w:rPr>
        <w:t>.</w:t>
      </w:r>
    </w:p>
    <w:p>
      <w:pPr>
        <w:pStyle w:val="style0"/>
        <w:spacing w:lineRule="auto" w:line="480"/>
        <w:ind w:left="720" w:hanging="720"/>
        <w:jc w:val="both"/>
        <w:rPr>
          <w:rFonts w:ascii="Times New Roman" w:cs="Times New Roman" w:hAnsi="Times New Roman"/>
          <w:sz w:val="28"/>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pPr>
    <w:r>
      <w:rPr>
        <w:rFonts w:ascii="Times New Roman" w:cs="Times New Roman" w:hAnsi="Times New Roman"/>
        <w:sz w:val="24"/>
      </w:rPr>
      <w:t>OLDER POPULATION</w:t>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5</w:t>
    </w:r>
    <w:r>
      <w:rPr>
        <w:rFonts w:ascii="Times New Roman" w:cs="Times New Roman" w:hAnsi="Times New Roman"/>
        <w:noProof/>
        <w:sz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Running Head: OLDER POPULATION</w:t>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1</w:t>
    </w:r>
    <w:r>
      <w:rPr>
        <w:rFonts w:ascii="Times New Roman" w:cs="Times New Roman" w:hAnsi="Times New Roman"/>
        <w:noProof/>
        <w:sz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0433226-aed2-4121-a807-70c0553536f6"/>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769697b-026b-4076-9b2a-e4d6dc813164"/>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685</Words>
  <Pages>5</Pages>
  <Characters>3697</Characters>
  <Application>WPS Office</Application>
  <DocSecurity>0</DocSecurity>
  <Paragraphs>55</Paragraphs>
  <ScaleCrop>false</ScaleCrop>
  <LinksUpToDate>false</LinksUpToDate>
  <CharactersWithSpaces>4365</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2019-03-01T06:05:31Z</dcterms:created>
  <dc:creator>Patrick</dc:creator>
  <lastModifiedBy>JKM-LX1</lastModifiedBy>
  <dcterms:modified xsi:type="dcterms:W3CDTF">2019-03-01T06:05:31Z</dcterms:modified>
  <revision>80</revision>
</coreProperties>
</file>

<file path=docProps/custom.xml><?xml version="1.0" encoding="utf-8"?>
<Properties xmlns="http://schemas.openxmlformats.org/officeDocument/2006/custom-properties" xmlns:vt="http://schemas.openxmlformats.org/officeDocument/2006/docPropsVTypes"/>
</file>